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360" w:lineRule="auto"/>
        <w:ind w:firstLine="0"/>
        <w:jc w:val="center"/>
        <w:rPr>
          <w:rFonts w:hint="eastAsia"/>
          <w:bCs/>
          <w:color w:val="000000"/>
          <w:sz w:val="44"/>
          <w:szCs w:val="44"/>
          <w:lang w:eastAsia="zh-CN"/>
        </w:rPr>
      </w:pPr>
      <w:r>
        <w:rPr>
          <w:rFonts w:hint="eastAsia"/>
          <w:bCs/>
          <w:color w:val="000000"/>
          <w:sz w:val="44"/>
          <w:szCs w:val="44"/>
          <w:lang w:eastAsia="zh-CN"/>
        </w:rPr>
        <w:t>浙江省医学科学院科技医疗综合楼</w:t>
      </w:r>
    </w:p>
    <w:p>
      <w:pPr>
        <w:pStyle w:val="5"/>
        <w:adjustRightInd w:val="0"/>
        <w:snapToGrid w:val="0"/>
        <w:spacing w:line="360" w:lineRule="auto"/>
        <w:ind w:firstLine="0"/>
        <w:jc w:val="center"/>
        <w:rPr>
          <w:rFonts w:hint="eastAsia" w:hAnsi="宋体"/>
          <w:b/>
          <w:color w:val="000000"/>
          <w:sz w:val="24"/>
        </w:rPr>
      </w:pPr>
      <w:r>
        <w:rPr>
          <w:rFonts w:hint="eastAsia"/>
          <w:bCs/>
          <w:color w:val="000000"/>
          <w:sz w:val="44"/>
          <w:szCs w:val="44"/>
          <w:lang w:eastAsia="zh-CN"/>
        </w:rPr>
        <w:t>标识</w:t>
      </w:r>
      <w:r>
        <w:rPr>
          <w:rFonts w:hint="eastAsia" w:ascii="Times New Roman"/>
          <w:color w:val="000000"/>
          <w:sz w:val="44"/>
          <w:szCs w:val="25"/>
        </w:rPr>
        <w:t>技术规格</w:t>
      </w:r>
      <w:r>
        <w:rPr>
          <w:rFonts w:hint="eastAsia" w:ascii="Times New Roman"/>
          <w:color w:val="000000"/>
          <w:sz w:val="44"/>
          <w:szCs w:val="25"/>
          <w:lang w:eastAsia="zh-CN"/>
        </w:rPr>
        <w:t>要求</w:t>
      </w:r>
      <w:bookmarkStart w:id="10" w:name="_GoBack"/>
      <w:bookmarkEnd w:id="10"/>
    </w:p>
    <w:p>
      <w:pPr>
        <w:pStyle w:val="9"/>
        <w:adjustRightInd w:val="0"/>
        <w:snapToGrid w:val="0"/>
        <w:spacing w:before="156" w:after="156" w:line="440" w:lineRule="exact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一、技术要求</w:t>
      </w:r>
    </w:p>
    <w:p>
      <w:pPr>
        <w:numPr>
          <w:ilvl w:val="0"/>
          <w:numId w:val="1"/>
        </w:num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bookmarkStart w:id="0" w:name="_Toc339532050"/>
      <w:bookmarkStart w:id="1" w:name="_Toc339532086"/>
      <w:r>
        <w:rPr>
          <w:rFonts w:hint="eastAsia" w:ascii="宋体" w:hAnsi="宋体"/>
          <w:color w:val="000000"/>
          <w:sz w:val="24"/>
          <w:lang w:eastAsia="zh-CN"/>
        </w:rPr>
        <w:t>标识内容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lang w:eastAsia="zh-CN"/>
        </w:rPr>
        <w:t>院徽标、“</w:t>
      </w:r>
      <w:r>
        <w:rPr>
          <w:rFonts w:ascii="宋体" w:hAnsi="宋体"/>
          <w:color w:val="000000"/>
          <w:sz w:val="24"/>
        </w:rPr>
        <w:t>浙江省</w:t>
      </w:r>
      <w:r>
        <w:rPr>
          <w:rFonts w:hint="eastAsia" w:ascii="宋体" w:hAnsi="宋体"/>
          <w:color w:val="000000"/>
          <w:sz w:val="24"/>
        </w:rPr>
        <w:t>医学</w:t>
      </w:r>
      <w:r>
        <w:rPr>
          <w:rFonts w:ascii="宋体" w:hAnsi="宋体"/>
          <w:color w:val="000000"/>
          <w:sz w:val="24"/>
        </w:rPr>
        <w:t>科学院</w:t>
      </w:r>
      <w:r>
        <w:rPr>
          <w:rFonts w:hint="eastAsia" w:ascii="宋体" w:hAnsi="宋体"/>
          <w:color w:val="000000"/>
          <w:sz w:val="24"/>
          <w:lang w:eastAsia="zh-CN"/>
        </w:rPr>
        <w:t>”及书法家落款</w:t>
      </w:r>
      <w:r>
        <w:rPr>
          <w:rFonts w:hint="eastAsia" w:ascii="宋体" w:hAnsi="宋体"/>
          <w:color w:val="000000"/>
          <w:sz w:val="24"/>
        </w:rPr>
        <w:t>；</w:t>
      </w:r>
      <w:bookmarkEnd w:id="0"/>
      <w:bookmarkEnd w:id="1"/>
    </w:p>
    <w:p>
      <w:pPr>
        <w:numPr>
          <w:ilvl w:val="0"/>
          <w:numId w:val="1"/>
        </w:num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安装地址：</w:t>
      </w:r>
      <w:r>
        <w:rPr>
          <w:rFonts w:hint="eastAsia" w:ascii="宋体" w:hAnsi="宋体"/>
          <w:color w:val="000000"/>
          <w:sz w:val="24"/>
          <w:lang w:eastAsia="zh-CN"/>
        </w:rPr>
        <w:t>浙江省医学科学院科技医疗综合楼</w:t>
      </w:r>
      <w:r>
        <w:rPr>
          <w:rFonts w:hint="eastAsia" w:ascii="宋体" w:hAnsi="宋体"/>
          <w:color w:val="000000"/>
          <w:sz w:val="24"/>
          <w:lang w:val="en-US" w:eastAsia="zh-CN"/>
        </w:rPr>
        <w:t>B楼南面墙体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ascii="宋体" w:hAnsi="宋体"/>
          <w:color w:val="000000"/>
          <w:sz w:val="24"/>
        </w:rPr>
        <w:t>杭州市天目山路182</w:t>
      </w:r>
      <w:r>
        <w:rPr>
          <w:rFonts w:hint="eastAsia" w:ascii="宋体" w:hAnsi="宋体"/>
          <w:color w:val="000000"/>
          <w:sz w:val="24"/>
        </w:rPr>
        <w:t>号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bookmarkStart w:id="2" w:name="_Toc339532051"/>
      <w:bookmarkStart w:id="3" w:name="_Toc339532087"/>
      <w:r>
        <w:rPr>
          <w:rFonts w:hint="eastAsia" w:ascii="宋体" w:hAnsi="宋体"/>
          <w:color w:val="000000"/>
          <w:sz w:val="24"/>
        </w:rPr>
        <w:t>颜</w:t>
      </w:r>
      <w:r>
        <w:rPr>
          <w:rFonts w:hint="eastAsia" w:ascii="宋体" w:hAnsi="宋体"/>
          <w:color w:val="000000"/>
          <w:sz w:val="24"/>
          <w:lang w:eastAsia="zh-CN"/>
        </w:rPr>
        <w:t>色：白天蓝色字体，晚上泛白光；</w:t>
      </w:r>
      <w:bookmarkEnd w:id="2"/>
      <w:bookmarkEnd w:id="3"/>
    </w:p>
    <w:p>
      <w:pPr>
        <w:numPr>
          <w:ilvl w:val="0"/>
          <w:numId w:val="1"/>
        </w:num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材质：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徽标：3mm铝板字壳烤漆，画面采用3M户外灯布UV写真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汉字：2.5mm铝板字壳烤漆，5mm亚克力蓝白板（白天蓝色，夜晚发光白色）</w:t>
      </w:r>
    </w:p>
    <w:p>
      <w:pPr>
        <w:numPr>
          <w:ilvl w:val="0"/>
          <w:numId w:val="1"/>
        </w:num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bookmarkStart w:id="4" w:name="_Toc339532089"/>
      <w:bookmarkStart w:id="5" w:name="_Toc339532053"/>
      <w:r>
        <w:rPr>
          <w:rFonts w:hint="eastAsia" w:ascii="宋体" w:hAnsi="宋体"/>
          <w:color w:val="000000"/>
          <w:sz w:val="24"/>
        </w:rPr>
        <w:t>字体尺寸及排列：详见图纸附后；</w:t>
      </w:r>
      <w:bookmarkEnd w:id="4"/>
      <w:bookmarkEnd w:id="5"/>
    </w:p>
    <w:p>
      <w:pPr>
        <w:numPr>
          <w:ilvl w:val="0"/>
          <w:numId w:val="1"/>
        </w:numPr>
        <w:spacing w:line="460" w:lineRule="exact"/>
        <w:ind w:left="314" w:hanging="314" w:hangingChars="131"/>
        <w:outlineLvl w:val="1"/>
        <w:rPr>
          <w:rFonts w:hint="eastAsia" w:ascii="宋体" w:hAnsi="宋体"/>
          <w:color w:val="000000"/>
          <w:sz w:val="24"/>
        </w:rPr>
      </w:pPr>
      <w:bookmarkStart w:id="6" w:name="_Toc339532090"/>
      <w:bookmarkStart w:id="7" w:name="_Toc339532054"/>
      <w:r>
        <w:rPr>
          <w:rFonts w:hint="eastAsia" w:ascii="宋体" w:hAnsi="宋体"/>
          <w:color w:val="000000"/>
          <w:sz w:val="24"/>
        </w:rPr>
        <w:t>字体：</w:t>
      </w:r>
      <w:r>
        <w:rPr>
          <w:rFonts w:hint="eastAsia" w:ascii="宋体" w:hAnsi="宋体"/>
          <w:color w:val="000000"/>
          <w:sz w:val="24"/>
          <w:lang w:eastAsia="zh-CN"/>
        </w:rPr>
        <w:t>吕国璋先生题写“</w:t>
      </w:r>
      <w:r>
        <w:rPr>
          <w:rFonts w:ascii="宋体" w:hAnsi="宋体"/>
          <w:color w:val="000000"/>
          <w:sz w:val="24"/>
        </w:rPr>
        <w:t>浙江省</w:t>
      </w:r>
      <w:r>
        <w:rPr>
          <w:rFonts w:hint="eastAsia" w:ascii="宋体" w:hAnsi="宋体"/>
          <w:color w:val="000000"/>
          <w:sz w:val="24"/>
        </w:rPr>
        <w:t>医学</w:t>
      </w:r>
      <w:r>
        <w:rPr>
          <w:rFonts w:ascii="宋体" w:hAnsi="宋体"/>
          <w:color w:val="000000"/>
          <w:sz w:val="24"/>
        </w:rPr>
        <w:t>科学院</w:t>
      </w:r>
      <w:r>
        <w:rPr>
          <w:rFonts w:hint="eastAsia" w:ascii="宋体" w:hAnsi="宋体"/>
          <w:color w:val="000000"/>
          <w:sz w:val="24"/>
          <w:lang w:eastAsia="zh-CN"/>
        </w:rPr>
        <w:t>”</w:t>
      </w:r>
      <w:r>
        <w:rPr>
          <w:rFonts w:hint="eastAsia" w:ascii="宋体" w:hAnsi="宋体"/>
          <w:color w:val="000000"/>
          <w:sz w:val="24"/>
        </w:rPr>
        <w:t>；</w:t>
      </w:r>
      <w:bookmarkEnd w:id="6"/>
      <w:bookmarkEnd w:id="7"/>
    </w:p>
    <w:p>
      <w:p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bookmarkStart w:id="8" w:name="_Toc339532091"/>
      <w:bookmarkStart w:id="9" w:name="_Toc339532055"/>
      <w:r>
        <w:rPr>
          <w:rFonts w:hint="eastAsia" w:ascii="宋体" w:hAnsi="宋体"/>
          <w:color w:val="000000"/>
          <w:sz w:val="24"/>
        </w:rPr>
        <w:t>7、安装方式：不锈钢架支撑；</w:t>
      </w:r>
    </w:p>
    <w:p>
      <w:p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8、电源相对独立，进线电源到配电箱50米以内的电源线，由中标方承担；</w:t>
      </w:r>
      <w:bookmarkEnd w:id="8"/>
      <w:bookmarkEnd w:id="9"/>
    </w:p>
    <w:p>
      <w:p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9、光源模组每组上下、左右间隔为2公分及以内。</w:t>
      </w:r>
    </w:p>
    <w:p>
      <w:p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10、所有不锈钢材一律采用304拉丝不锈钢。相关配件也均采用不锈钢材质配件。</w:t>
      </w:r>
    </w:p>
    <w:p>
      <w:p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11、发光字安装均需采用可拆卸式，方便日后维修。</w:t>
      </w:r>
    </w:p>
    <w:p>
      <w:p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12、配电控制箱采用时控和手自动转换功能。</w:t>
      </w:r>
    </w:p>
    <w:p>
      <w:pPr>
        <w:spacing w:line="460" w:lineRule="exact"/>
        <w:outlineLvl w:val="1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13、字牌必须按照电气规范安装接地线，且不能与楼顶防雷接地混接。</w:t>
      </w:r>
    </w:p>
    <w:p>
      <w:pPr>
        <w:snapToGrid w:val="0"/>
        <w:spacing w:line="400" w:lineRule="exact"/>
        <w:rPr>
          <w:rFonts w:hint="eastAsia"/>
          <w:b/>
          <w:bCs/>
          <w:color w:val="000000"/>
          <w:sz w:val="24"/>
        </w:rPr>
      </w:pPr>
    </w:p>
    <w:p>
      <w:pPr>
        <w:numPr>
          <w:ilvl w:val="0"/>
          <w:numId w:val="2"/>
        </w:numPr>
        <w:snapToGrid w:val="0"/>
        <w:spacing w:line="400" w:lineRule="exac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施工要求</w:t>
      </w:r>
    </w:p>
    <w:p>
      <w:pPr>
        <w:tabs>
          <w:tab w:val="left" w:pos="1440"/>
        </w:tabs>
        <w:spacing w:line="360" w:lineRule="auto"/>
        <w:ind w:left="360" w:hanging="360" w:hanging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1、具体规格以招标方提供的图纸为模板，投标方需通过相关资质设计单位进行深化设计、确认，并提供相关设计图纸。</w:t>
      </w:r>
    </w:p>
    <w:p>
      <w:pPr>
        <w:tabs>
          <w:tab w:val="left" w:pos="1440"/>
        </w:tabs>
        <w:spacing w:line="360" w:lineRule="auto"/>
        <w:ind w:left="360" w:hanging="360" w:hanging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2、所有发光字的安装应保证安全、牢固、美观，并且可拆卸，便于维修。在项目实施过程中，安装方法的调整不得影响工程造价，并须事先征得买方同意；</w:t>
      </w:r>
    </w:p>
    <w:p>
      <w:pPr>
        <w:tabs>
          <w:tab w:val="left" w:pos="1440"/>
        </w:tabs>
        <w:spacing w:line="360" w:lineRule="auto"/>
        <w:ind w:left="360" w:hanging="360" w:hanging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3、标识安装需破坏招标人现场的（如绿化、墙体、装修），投标人应予以完全恢复，并不得变更工程造价；</w:t>
      </w:r>
    </w:p>
    <w:p>
      <w:pPr>
        <w:tabs>
          <w:tab w:val="left" w:pos="1440"/>
        </w:tabs>
        <w:spacing w:line="360" w:lineRule="auto"/>
        <w:ind w:left="360" w:hanging="360" w:hanging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4、本表所列标识项目，其图文内容多少的变更不得影响工程造价；</w:t>
      </w:r>
    </w:p>
    <w:p>
      <w:pPr>
        <w:tabs>
          <w:tab w:val="left" w:pos="1440"/>
        </w:tabs>
        <w:spacing w:line="360" w:lineRule="auto"/>
        <w:ind w:left="360" w:hanging="360" w:hanging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5、所有折边工艺外露部分必须封边；</w:t>
      </w:r>
    </w:p>
    <w:p>
      <w:pPr>
        <w:tabs>
          <w:tab w:val="left" w:pos="1440"/>
        </w:tabs>
        <w:spacing w:line="360" w:lineRule="auto"/>
        <w:ind w:left="360" w:hanging="360" w:hanging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6、所有安装配件必须是国标不锈钢配件，所有材料尺寸均为国标尺寸。</w:t>
      </w:r>
    </w:p>
    <w:p>
      <w:pPr>
        <w:tabs>
          <w:tab w:val="left" w:pos="1440"/>
        </w:tabs>
        <w:spacing w:line="360" w:lineRule="auto"/>
        <w:ind w:left="360" w:hanging="360" w:hangingChars="150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 w:val="24"/>
        </w:rPr>
        <w:t>7、所有施工人员均需持证上岗，高空作业须有高空作业证，且均需在有效期内。</w:t>
      </w:r>
    </w:p>
    <w:p>
      <w:pPr>
        <w:pStyle w:val="11"/>
        <w:adjustRightInd w:val="0"/>
        <w:snapToGrid w:val="0"/>
        <w:spacing w:before="0" w:after="0" w:line="420" w:lineRule="exac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三、主要材料品牌推荐表</w:t>
      </w:r>
    </w:p>
    <w:p>
      <w:pPr>
        <w:pStyle w:val="11"/>
        <w:adjustRightInd w:val="0"/>
        <w:snapToGrid w:val="0"/>
        <w:spacing w:before="0" w:after="0" w:line="420" w:lineRule="exact"/>
        <w:rPr>
          <w:rFonts w:hint="eastAsia" w:ascii="Times New Roman" w:hAnsi="Times New Roman" w:eastAsia="宋体"/>
          <w:sz w:val="24"/>
          <w:szCs w:val="24"/>
        </w:rPr>
      </w:pPr>
    </w:p>
    <w:tbl>
      <w:tblPr>
        <w:tblStyle w:val="8"/>
        <w:tblW w:w="5667" w:type="dxa"/>
        <w:jc w:val="center"/>
        <w:tblInd w:w="-1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61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52" w:type="dxa"/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15" w:type="dxa"/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材料名称\规格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3M膜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亚克力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德固赛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钢板</w:t>
            </w:r>
            <w:r>
              <w:rPr>
                <w:rFonts w:hint="eastAsia" w:ascii="宋体" w:hAnsi="宋体"/>
                <w:color w:val="000000"/>
                <w:szCs w:val="21"/>
              </w:rPr>
              <w:t>(铁板)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山西太钢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铝板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西南铝业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涂料（油漆）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立邦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变压器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正泰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导向标志控制器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不锈钢（含相应不锈钢配件）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上海</w:t>
            </w:r>
            <w:r>
              <w:rPr>
                <w:rFonts w:hint="eastAsia"/>
                <w:bCs/>
                <w:szCs w:val="21"/>
              </w:rPr>
              <w:t>宝钢、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不锈钢方通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天津利达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LED光源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宝岛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25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25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6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玻璃胶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恒业风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25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6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膨胀螺丝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午宇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25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6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螺丝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535"/>
              </w:tabs>
              <w:spacing w:line="360" w:lineRule="auto"/>
              <w:ind w:hanging="1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贝特</w:t>
            </w:r>
          </w:p>
        </w:tc>
      </w:tr>
    </w:tbl>
    <w:p>
      <w:pPr>
        <w:pStyle w:val="11"/>
        <w:tabs>
          <w:tab w:val="left" w:pos="5880"/>
        </w:tabs>
        <w:adjustRightInd w:val="0"/>
        <w:snapToGrid w:val="0"/>
        <w:spacing w:before="0" w:after="0" w:line="420" w:lineRule="exact"/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="0" w:after="0" w:line="420" w:lineRule="exact"/>
        <w:ind w:left="0" w:leftChars="0"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若投标人提供了招标人推荐品牌以外的产品，应同时提供相当于招标人推荐品牌的证明材料，评标委员会对其提供的证明材料进行评审能否满足招标人要求。未提供证明材料或材料依据不足时，评标委员会可以在评标报告中写明情况</w:t>
      </w:r>
      <w:r>
        <w:rPr>
          <w:rFonts w:hint="eastAsia"/>
          <w:color w:val="000000"/>
          <w:sz w:val="24"/>
          <w:szCs w:val="24"/>
          <w:lang w:eastAsia="zh-CN"/>
        </w:rPr>
        <w:t>并</w:t>
      </w:r>
      <w:r>
        <w:rPr>
          <w:rFonts w:hint="eastAsia"/>
          <w:color w:val="000000"/>
          <w:sz w:val="24"/>
          <w:szCs w:val="24"/>
        </w:rPr>
        <w:t>作废标处理。若投标人没有进行注明的，则招标人有权指定符合设计规范要求的品牌产品，综合单价不得调整。承包人不得拒绝。</w:t>
      </w:r>
    </w:p>
    <w:p>
      <w:pPr>
        <w:pStyle w:val="12"/>
        <w:spacing w:before="0" w:after="0" w:line="420" w:lineRule="exact"/>
        <w:ind w:left="0" w:leftChars="0"/>
        <w:jc w:val="left"/>
        <w:rPr>
          <w:rFonts w:hint="eastAsia"/>
          <w:color w:val="000000"/>
          <w:sz w:val="24"/>
          <w:szCs w:val="24"/>
        </w:rPr>
      </w:pPr>
    </w:p>
    <w:p>
      <w:pPr>
        <w:snapToGrid w:val="0"/>
        <w:spacing w:line="440" w:lineRule="exact"/>
        <w:ind w:left="1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四、样品</w:t>
      </w:r>
    </w:p>
    <w:p>
      <w:pPr>
        <w:pStyle w:val="12"/>
        <w:spacing w:before="0" w:after="0" w:line="420" w:lineRule="exact"/>
        <w:ind w:left="0" w:leftChars="0"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投标时提供发光字制作小样（能通电发光），在投标截止前与投标文件一起提交。</w:t>
      </w:r>
    </w:p>
    <w:p>
      <w:pPr>
        <w:pStyle w:val="12"/>
        <w:spacing w:before="0" w:after="0" w:line="420" w:lineRule="exact"/>
        <w:ind w:left="0" w:leftChars="0"/>
        <w:jc w:val="left"/>
        <w:rPr>
          <w:rFonts w:hint="eastAsia"/>
          <w:color w:val="000000"/>
          <w:sz w:val="24"/>
          <w:szCs w:val="24"/>
        </w:rPr>
      </w:pPr>
    </w:p>
    <w:p>
      <w:pPr>
        <w:pStyle w:val="12"/>
        <w:spacing w:before="0" w:after="0" w:line="420" w:lineRule="exact"/>
        <w:ind w:left="0" w:leftChars="0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五、附图</w:t>
      </w:r>
    </w:p>
    <w:p>
      <w:pPr>
        <w:pStyle w:val="12"/>
        <w:spacing w:before="0" w:after="0" w:line="420" w:lineRule="exact"/>
        <w:ind w:left="0" w:leftChars="0"/>
        <w:jc w:val="left"/>
        <w:rPr>
          <w:rFonts w:hint="eastAsia" w:ascii="Times New Roman" w:hAnsi="Times New Roman" w:eastAsia="宋体"/>
          <w:b w:val="0"/>
          <w:kern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招标方提供的图纸仅做模板参考报价，具体施工方案需由该类项目资质设计单位确认。</w:t>
      </w:r>
    </w:p>
    <w:p>
      <w:pPr>
        <w:pStyle w:val="11"/>
        <w:adjustRightInd w:val="0"/>
        <w:snapToGrid w:val="0"/>
        <w:spacing w:before="0" w:after="0" w:line="420" w:lineRule="exact"/>
        <w:rPr>
          <w:rFonts w:hint="eastAsia" w:ascii="Times New Roman" w:hAnsi="Times New Roman" w:eastAsia="宋体"/>
          <w:b w:val="0"/>
          <w:kern w:val="2"/>
          <w:sz w:val="24"/>
          <w:szCs w:val="24"/>
        </w:rPr>
      </w:pPr>
    </w:p>
    <w:p>
      <w:pPr>
        <w:pStyle w:val="11"/>
        <w:adjustRightInd w:val="0"/>
        <w:snapToGrid w:val="0"/>
        <w:spacing w:before="0" w:after="0" w:line="420" w:lineRule="exact"/>
        <w:rPr>
          <w:rFonts w:hint="eastAsia" w:ascii="Times New Roman" w:hAnsi="Times New Roman" w:eastAsia="宋体"/>
          <w:b w:val="0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 w:val="0"/>
          <w:kern w:val="2"/>
          <w:sz w:val="24"/>
          <w:szCs w:val="24"/>
        </w:rPr>
        <w:t>附图</w:t>
      </w:r>
    </w:p>
    <w:p>
      <w:pPr>
        <w:pStyle w:val="11"/>
        <w:adjustRightInd w:val="0"/>
        <w:snapToGrid w:val="0"/>
        <w:spacing w:before="0" w:after="0" w:line="420" w:lineRule="exact"/>
        <w:rPr>
          <w:rFonts w:ascii="Times New Roman" w:hAnsi="Times New Roman" w:eastAsia="宋体"/>
          <w:b w:val="0"/>
          <w:kern w:val="2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"C:\\Users\\X\\AppData\\Roaming\\Tencent\\Users\\36036509\\QQ\\WinTemp\\RichOle\\6RGK7Y]E(U57B[XGXTIRGI3.png"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53485" cy="3460750"/>
            <wp:effectExtent l="0" t="0" r="18415" b="635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3485" cy="346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11"/>
        <w:adjustRightInd w:val="0"/>
        <w:snapToGrid w:val="0"/>
        <w:spacing w:before="0" w:after="0" w:line="420" w:lineRule="exact"/>
        <w:rPr>
          <w:rFonts w:ascii="Times New Roman" w:hAnsi="Times New Roman" w:eastAsia="宋体"/>
          <w:b w:val="0"/>
          <w:kern w:val="2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"C:\\Users\\X\\AppData\\Roaming\\Tencent\\Users\\36036509\\QQ\\WinTemp\\RichOle\\M{L98NDZ4U1YNJ`_I{NE~83.png"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96970" cy="3893185"/>
            <wp:effectExtent l="0" t="0" r="17780" b="12065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3893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?|CS?o｡ﾀ?">
    <w:altName w:val="MS P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45</w:t>
    </w:r>
    <w:r>
      <w:fldChar w:fldCharType="end"/>
    </w:r>
  </w:p>
  <w:p>
    <w:pPr>
      <w:pStyle w:val="6"/>
      <w:jc w:val="center"/>
      <w:rPr>
        <w:rFonts w:hint="eastAsia" w:ascii="黑体" w:eastAsia="楷体_GB2312"/>
        <w:sz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9C1596"/>
    <w:multiLevelType w:val="multilevel"/>
    <w:tmpl w:val="0B9C1596"/>
    <w:lvl w:ilvl="0" w:tentative="0">
      <w:start w:val="2"/>
      <w:numFmt w:val="japaneseCounting"/>
      <w:lvlText w:val="%1、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7693D"/>
    <w:rsid w:val="5847693D"/>
    <w:rsid w:val="5D5366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/>
      <w:b/>
      <w:spacing w:val="14"/>
      <w:kern w:val="24"/>
      <w:sz w:val="32"/>
      <w:szCs w:val="20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4"/>
      <w:szCs w:val="28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spacing w:line="460" w:lineRule="exact"/>
      <w:ind w:firstLine="420"/>
    </w:pPr>
    <w:rPr>
      <w:spacing w:val="14"/>
      <w:kern w:val="24"/>
      <w:sz w:val="24"/>
      <w:szCs w:val="20"/>
    </w:rPr>
  </w:style>
  <w:style w:type="paragraph" w:styleId="5">
    <w:name w:val="Body Text Indent 2"/>
    <w:basedOn w:val="1"/>
    <w:uiPriority w:val="0"/>
    <w:pPr>
      <w:ind w:firstLine="630"/>
    </w:pPr>
    <w:rPr>
      <w:rFonts w:ascii="宋体"/>
      <w:sz w:val="32"/>
      <w:u w:val="single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样式 样式 标题 4 + 非加粗 + (中文) 黑体 段前: 0 磅 段后: 0 磅 行距: 固定值 22 磅"/>
    <w:basedOn w:val="10"/>
    <w:qFormat/>
    <w:uiPriority w:val="0"/>
    <w:pPr>
      <w:spacing w:before="50" w:beforeLines="50" w:after="50" w:afterLines="50" w:line="500" w:lineRule="exact"/>
    </w:pPr>
    <w:rPr>
      <w:rFonts w:cs="宋体"/>
      <w:bCs/>
      <w:spacing w:val="0"/>
    </w:rPr>
  </w:style>
  <w:style w:type="paragraph" w:customStyle="1" w:styleId="10">
    <w:name w:val="样式 标题 4 + 非加粗"/>
    <w:basedOn w:val="4"/>
    <w:qFormat/>
    <w:uiPriority w:val="0"/>
    <w:pPr>
      <w:spacing w:before="120" w:after="120" w:line="377" w:lineRule="auto"/>
    </w:pPr>
    <w:rPr>
      <w:bCs w:val="0"/>
      <w:spacing w:val="4"/>
      <w:szCs w:val="24"/>
    </w:rPr>
  </w:style>
  <w:style w:type="paragraph" w:customStyle="1" w:styleId="11">
    <w:name w:val="样式 标题 2 + (中文) 黑体 四号 黑色"/>
    <w:basedOn w:val="2"/>
    <w:qFormat/>
    <w:uiPriority w:val="0"/>
    <w:pPr>
      <w:spacing w:line="520" w:lineRule="exact"/>
      <w:jc w:val="left"/>
    </w:pPr>
    <w:rPr>
      <w:rFonts w:eastAsia="黑体"/>
      <w:bCs/>
      <w:color w:val="000000"/>
      <w:spacing w:val="0"/>
      <w:sz w:val="28"/>
    </w:rPr>
  </w:style>
  <w:style w:type="paragraph" w:customStyle="1" w:styleId="12">
    <w:name w:val="Body Text Indent"/>
    <w:basedOn w:val="1"/>
    <w:qFormat/>
    <w:uiPriority w:val="0"/>
    <w:pPr>
      <w:spacing w:before="120" w:after="120" w:line="360" w:lineRule="auto"/>
      <w:ind w:left="420"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C:\Users\X\AppData\Roaming\Tencent\Users\36036509\QQ\WinTemp\RichOle\M{L98NDZ4U1YNJ`_I{NE~83.png" TargetMode="External"/><Relationship Id="rId7" Type="http://schemas.openxmlformats.org/officeDocument/2006/relationships/image" Target="media/image2.png"/><Relationship Id="rId6" Type="http://schemas.openxmlformats.org/officeDocument/2006/relationships/image" Target="C:\Users\X\AppData\Roaming\Tencent\Users\36036509\QQ\WinTemp\RichOle\6RGK7Y]E(U57B[XGXTIRGI3.png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2016-07-01T09:21:00Z</dcterms:created>
  <dc:creator>X</dc:creator>
  <cp:lastModifiedBy>X</cp:lastModifiedBy>
  <dcterms:modified xsi:type="dcterms:W3CDTF">2016-07-01T09:22:40Z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